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FE" w:rsidRDefault="001B1FFE" w:rsidP="001B1FFE">
      <w:pPr>
        <w:pStyle w:val="NormalWeb"/>
        <w:spacing w:before="0" w:beforeAutospacing="0" w:after="225" w:afterAutospacing="0" w:line="30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First </w:t>
      </w:r>
      <w:proofErr w:type="spellStart"/>
      <w:r>
        <w:rPr>
          <w:rFonts w:ascii="Arial" w:hAnsi="Arial" w:cs="Arial"/>
          <w:color w:val="000000"/>
        </w:rPr>
        <w:t>Forward</w:t>
      </w:r>
      <w:proofErr w:type="spellEnd"/>
      <w:r>
        <w:rPr>
          <w:rFonts w:ascii="Arial" w:hAnsi="Arial" w:cs="Arial"/>
          <w:color w:val="000000"/>
        </w:rPr>
        <w:t xml:space="preserve">, serisi </w:t>
      </w:r>
      <w:proofErr w:type="spellStart"/>
      <w:r>
        <w:rPr>
          <w:rFonts w:ascii="Arial" w:hAnsi="Arial" w:cs="Arial"/>
          <w:color w:val="000000"/>
        </w:rPr>
        <w:t>karıştır&amp;eşleştir</w:t>
      </w:r>
      <w:proofErr w:type="spellEnd"/>
      <w:r>
        <w:rPr>
          <w:rFonts w:ascii="Arial" w:hAnsi="Arial" w:cs="Arial"/>
          <w:color w:val="000000"/>
        </w:rPr>
        <w:t xml:space="preserve"> olanaklarının zenginliğini sunan bukle, yeni karo halı koleksiyonudur.</w:t>
      </w:r>
    </w:p>
    <w:p w:rsidR="001B1FFE" w:rsidRDefault="001B1FFE" w:rsidP="001B1FFE">
      <w:pPr>
        <w:pStyle w:val="NormalWeb"/>
        <w:spacing w:before="0" w:beforeAutospacing="0" w:after="225" w:afterAutospacing="0" w:line="30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Tasarım söz konusu olduğunda, renkten daha etkili </w:t>
      </w:r>
      <w:proofErr w:type="gramStart"/>
      <w:r>
        <w:rPr>
          <w:rFonts w:ascii="Arial" w:hAnsi="Arial" w:cs="Arial"/>
          <w:color w:val="000000"/>
        </w:rPr>
        <w:t>kriter</w:t>
      </w:r>
      <w:proofErr w:type="gramEnd"/>
      <w:r>
        <w:rPr>
          <w:rFonts w:ascii="Arial" w:hAnsi="Arial" w:cs="Arial"/>
          <w:color w:val="000000"/>
        </w:rPr>
        <w:t xml:space="preserve"> yoktur. İşte bu yüzden First </w:t>
      </w:r>
      <w:proofErr w:type="spellStart"/>
      <w:r>
        <w:rPr>
          <w:rFonts w:ascii="Arial" w:hAnsi="Arial" w:cs="Arial"/>
          <w:color w:val="000000"/>
        </w:rPr>
        <w:t>Forward</w:t>
      </w:r>
      <w:proofErr w:type="spellEnd"/>
      <w:r>
        <w:rPr>
          <w:rFonts w:ascii="Arial" w:hAnsi="Arial" w:cs="Arial"/>
          <w:color w:val="000000"/>
        </w:rPr>
        <w:t xml:space="preserve">, şık pasteller, doğadan ilham alan sakinleştirici paletler ve bazı cesur olağandışı tonlar da </w:t>
      </w:r>
      <w:proofErr w:type="gramStart"/>
      <w:r>
        <w:rPr>
          <w:rFonts w:ascii="Arial" w:hAnsi="Arial" w:cs="Arial"/>
          <w:color w:val="000000"/>
        </w:rPr>
        <w:t>dahil</w:t>
      </w:r>
      <w:proofErr w:type="gramEnd"/>
      <w:r>
        <w:rPr>
          <w:rFonts w:ascii="Arial" w:hAnsi="Arial" w:cs="Arial"/>
          <w:color w:val="000000"/>
        </w:rPr>
        <w:t xml:space="preserve"> olmak üzere 27 renkten oluşan geniş bir yelpaze sunar.</w:t>
      </w:r>
    </w:p>
    <w:p w:rsidR="001B1FFE" w:rsidRDefault="001B1FFE" w:rsidP="001B1FFE">
      <w:pPr>
        <w:pStyle w:val="Normal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Yenilenmiş bir tasarımla, artan aşınma direnci ve </w:t>
      </w:r>
      <w:proofErr w:type="spellStart"/>
      <w:r>
        <w:rPr>
          <w:rFonts w:ascii="Arial" w:hAnsi="Arial" w:cs="Arial"/>
          <w:color w:val="000000"/>
        </w:rPr>
        <w:t>modulyss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markası  kendi</w:t>
      </w:r>
      <w:proofErr w:type="gramEnd"/>
      <w:r>
        <w:rPr>
          <w:rFonts w:ascii="Arial" w:hAnsi="Arial" w:cs="Arial"/>
          <w:color w:val="000000"/>
        </w:rPr>
        <w:t xml:space="preserve"> ürettiği ipliği ile, alışılmış ‘First’ koleksiyonumuzu bambaşka bir seviyeye taşıdı. </w:t>
      </w:r>
    </w:p>
    <w:p w:rsidR="006A1C7A" w:rsidRDefault="006A1C7A"/>
    <w:p w:rsidR="005A7D7C" w:rsidRDefault="005A7D7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5753"/>
      </w:tblGrid>
      <w:tr w:rsidR="005A7D7C" w:rsidRPr="005A7D7C" w:rsidTr="005A7D7C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5A7D7C" w:rsidRPr="005A7D7C" w:rsidRDefault="005A7D7C" w:rsidP="005A7D7C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5A7D7C">
              <w:rPr>
                <w:rFonts w:ascii="inherit" w:eastAsia="Times New Roman" w:hAnsi="inherit" w:cs="Helvetica"/>
                <w:b/>
                <w:bCs/>
                <w:color w:val="444444"/>
                <w:sz w:val="18"/>
                <w:szCs w:val="18"/>
                <w:lang w:eastAsia="tr-TR"/>
              </w:rPr>
              <w:t>Teknik Özellikler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5A7D7C" w:rsidRPr="005A7D7C" w:rsidRDefault="005A7D7C" w:rsidP="005A7D7C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444444"/>
                <w:sz w:val="18"/>
                <w:szCs w:val="18"/>
                <w:lang w:eastAsia="tr-TR"/>
              </w:rPr>
            </w:pPr>
          </w:p>
        </w:tc>
      </w:tr>
      <w:tr w:rsidR="005A7D7C" w:rsidRPr="005A7D7C" w:rsidTr="005A7D7C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5A7D7C" w:rsidRPr="005A7D7C" w:rsidRDefault="005A7D7C" w:rsidP="005A7D7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</w:pPr>
            <w:r w:rsidRPr="005A7D7C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>İplik Cinsi: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5A7D7C" w:rsidRPr="005A7D7C" w:rsidRDefault="005A7D7C" w:rsidP="005A7D7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</w:pPr>
            <w:r w:rsidRPr="005A7D7C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 xml:space="preserve">% 100 PA6 Solution </w:t>
            </w:r>
            <w:proofErr w:type="spellStart"/>
            <w:r w:rsidRPr="005A7D7C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>Dyed</w:t>
            </w:r>
            <w:proofErr w:type="spellEnd"/>
            <w:r w:rsidRPr="005A7D7C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7D7C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>Aqualon</w:t>
            </w:r>
            <w:proofErr w:type="spellEnd"/>
          </w:p>
        </w:tc>
      </w:tr>
      <w:tr w:rsidR="005A7D7C" w:rsidRPr="005A7D7C" w:rsidTr="005A7D7C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5A7D7C" w:rsidRPr="005A7D7C" w:rsidRDefault="005A7D7C" w:rsidP="005A7D7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</w:pPr>
            <w:r w:rsidRPr="005A7D7C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>Toplam Kalınlık: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5A7D7C" w:rsidRPr="005A7D7C" w:rsidRDefault="005A7D7C" w:rsidP="005A7D7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>6.2</w:t>
            </w:r>
            <w:r w:rsidRPr="005A7D7C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>0mm</w:t>
            </w:r>
          </w:p>
        </w:tc>
      </w:tr>
      <w:tr w:rsidR="005A7D7C" w:rsidRPr="005A7D7C" w:rsidTr="005A7D7C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5A7D7C" w:rsidRPr="005A7D7C" w:rsidRDefault="005A7D7C" w:rsidP="005A7D7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</w:pPr>
            <w:r w:rsidRPr="005A7D7C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>Hav Yüksekliği: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5A7D7C" w:rsidRPr="005A7D7C" w:rsidRDefault="005A7D7C" w:rsidP="005A7D7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</w:pPr>
            <w:r w:rsidRPr="005A7D7C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>2.90 mm</w:t>
            </w:r>
          </w:p>
        </w:tc>
      </w:tr>
      <w:tr w:rsidR="005A7D7C" w:rsidRPr="005A7D7C" w:rsidTr="005A7D7C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5A7D7C" w:rsidRPr="005A7D7C" w:rsidRDefault="005A7D7C" w:rsidP="005A7D7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</w:pPr>
            <w:r w:rsidRPr="005A7D7C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>Akustik Performansı: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5A7D7C" w:rsidRPr="005A7D7C" w:rsidRDefault="005A7D7C" w:rsidP="005A7D7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>26</w:t>
            </w:r>
            <w:bookmarkStart w:id="0" w:name="_GoBack"/>
            <w:bookmarkEnd w:id="0"/>
            <w:r w:rsidRPr="005A7D7C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7D7C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tr-TR"/>
              </w:rPr>
              <w:t>dB</w:t>
            </w:r>
            <w:proofErr w:type="spellEnd"/>
          </w:p>
        </w:tc>
      </w:tr>
    </w:tbl>
    <w:p w:rsidR="005A7D7C" w:rsidRDefault="005A7D7C"/>
    <w:sectPr w:rsidR="005A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29"/>
    <w:rsid w:val="001B1FFE"/>
    <w:rsid w:val="005A7D7C"/>
    <w:rsid w:val="006A1C7A"/>
    <w:rsid w:val="008F2B29"/>
    <w:rsid w:val="00E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2020-04-21T13:07:00Z</dcterms:created>
  <dcterms:modified xsi:type="dcterms:W3CDTF">2020-04-21T14:28:00Z</dcterms:modified>
</cp:coreProperties>
</file>